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62F6C">
      <w:pPr>
        <w:jc w:val="center"/>
        <w:rPr>
          <w:rFonts w:hint="default" w:ascii="Arial" w:hAnsi="Arial" w:eastAsia="SimSun" w:cs="Arial"/>
          <w:b/>
          <w:bCs/>
          <w:sz w:val="24"/>
          <w:szCs w:val="24"/>
          <w:u w:val="single"/>
          <w:lang w:val="en-US"/>
        </w:rPr>
      </w:pPr>
      <w:r>
        <w:rPr>
          <w:rFonts w:hint="default" w:ascii="Arial" w:hAnsi="Arial" w:eastAsia="SimSun" w:cs="Arial"/>
          <w:b/>
          <w:bCs/>
          <w:sz w:val="24"/>
          <w:szCs w:val="24"/>
          <w:u w:val="single"/>
          <w:lang w:val="en-US"/>
        </w:rPr>
        <w:t>Comisión de Administraciones Tributarias AAEF</w:t>
      </w:r>
    </w:p>
    <w:p w14:paraId="61C82B82">
      <w:pPr>
        <w:jc w:val="center"/>
        <w:rPr>
          <w:rFonts w:hint="default" w:ascii="Arial" w:hAnsi="Arial" w:eastAsia="SimSun" w:cs="Arial"/>
          <w:b/>
          <w:bCs/>
          <w:sz w:val="24"/>
          <w:szCs w:val="24"/>
          <w:u w:val="single"/>
          <w:lang w:val="en-US"/>
        </w:rPr>
      </w:pPr>
      <w:r>
        <w:rPr>
          <w:rFonts w:hint="default" w:ascii="Arial" w:hAnsi="Arial" w:eastAsia="SimSun" w:cs="Arial"/>
          <w:b/>
          <w:bCs/>
          <w:sz w:val="24"/>
          <w:szCs w:val="24"/>
          <w:u w:val="single"/>
          <w:lang w:val="en-US"/>
        </w:rPr>
        <w:t>Reunión 7 de Octubre de 2025</w:t>
      </w:r>
    </w:p>
    <w:p w14:paraId="096428B0">
      <w:pPr>
        <w:jc w:val="center"/>
        <w:rPr>
          <w:rFonts w:hint="default" w:ascii="Arial" w:hAnsi="Arial" w:eastAsia="SimSun" w:cs="Arial"/>
          <w:b/>
          <w:bCs/>
          <w:sz w:val="24"/>
          <w:szCs w:val="24"/>
          <w:u w:val="single"/>
          <w:lang w:val="en-US"/>
        </w:rPr>
      </w:pPr>
      <w:r>
        <w:rPr>
          <w:rFonts w:hint="default" w:ascii="Arial" w:hAnsi="Arial" w:eastAsia="SimSun" w:cs="Arial"/>
          <w:b/>
          <w:bCs/>
          <w:sz w:val="24"/>
          <w:szCs w:val="24"/>
          <w:u w:val="single"/>
          <w:lang w:val="en-US"/>
        </w:rPr>
        <w:t>TEMARIO y MATERIAL COMENTADO</w:t>
      </w:r>
    </w:p>
    <w:p w14:paraId="1D4782CB">
      <w:pPr>
        <w:jc w:val="center"/>
        <w:rPr>
          <w:rFonts w:hint="default" w:ascii="Arial" w:hAnsi="Arial" w:cs="Arial"/>
          <w:b/>
          <w:bCs/>
          <w:sz w:val="24"/>
          <w:szCs w:val="24"/>
          <w:u w:val="single"/>
          <w:lang w:val="en-US"/>
        </w:rPr>
      </w:pPr>
    </w:p>
    <w:p w14:paraId="07CD266B">
      <w:pPr>
        <w:jc w:val="both"/>
        <w:rPr>
          <w:rFonts w:hint="default" w:ascii="Arial" w:hAnsi="Arial" w:cs="Arial"/>
          <w:b w:val="0"/>
          <w:bCs w:val="0"/>
          <w:sz w:val="24"/>
          <w:szCs w:val="24"/>
          <w:lang w:val="en-US"/>
        </w:rPr>
      </w:pPr>
      <w:r>
        <w:rPr>
          <w:rFonts w:hint="default" w:ascii="Arial" w:hAnsi="Arial" w:eastAsia="SimSun" w:cs="Arial"/>
          <w:b/>
          <w:bCs/>
          <w:sz w:val="24"/>
          <w:szCs w:val="24"/>
          <w:u w:val="single"/>
          <w:lang w:val="en-US"/>
        </w:rPr>
        <w:t>Exposición</w:t>
      </w:r>
    </w:p>
    <w:p w14:paraId="499F937F">
      <w:pPr>
        <w:jc w:val="both"/>
        <w:rPr>
          <w:rFonts w:hint="default" w:ascii="Arial" w:hAnsi="Arial" w:cs="Arial"/>
          <w:b w:val="0"/>
          <w:bCs w:val="0"/>
          <w:sz w:val="24"/>
          <w:szCs w:val="24"/>
          <w:lang w:val="en-US"/>
        </w:rPr>
      </w:pPr>
    </w:p>
    <w:p w14:paraId="71CBBCDC">
      <w:pPr>
        <w:numPr>
          <w:numId w:val="0"/>
        </w:numPr>
        <w:ind w:leftChars="0"/>
        <w:jc w:val="both"/>
        <w:rPr>
          <w:rFonts w:hint="default" w:ascii="Arial" w:hAnsi="Arial" w:cs="Arial"/>
          <w:b/>
          <w:bCs/>
          <w:i/>
          <w:iCs/>
          <w:sz w:val="24"/>
          <w:szCs w:val="24"/>
          <w:lang w:val="en-US"/>
        </w:rPr>
      </w:pPr>
      <w:bookmarkStart w:id="0" w:name="_GoBack"/>
      <w:bookmarkEnd w:id="0"/>
      <w:r>
        <w:rPr>
          <w:rFonts w:hint="default" w:ascii="Arial" w:hAnsi="Arial" w:cs="Arial"/>
          <w:b/>
          <w:bCs/>
          <w:i/>
          <w:iCs/>
          <w:sz w:val="24"/>
          <w:szCs w:val="24"/>
          <w:lang w:val="en-US"/>
        </w:rPr>
        <w:t>“Conformación del Riesgo Fiscal : con especial referencia a la CABA</w:t>
      </w:r>
    </w:p>
    <w:p w14:paraId="25088480">
      <w:pPr>
        <w:jc w:val="both"/>
        <w:rPr>
          <w:rFonts w:hint="default" w:ascii="Arial" w:hAnsi="Arial" w:cs="Arial"/>
          <w:b w:val="0"/>
          <w:bCs w:val="0"/>
          <w:sz w:val="24"/>
          <w:szCs w:val="24"/>
          <w:lang w:val="en-US"/>
        </w:rPr>
      </w:pPr>
      <w:r>
        <w:rPr>
          <w:rFonts w:hint="default" w:ascii="Arial" w:hAnsi="Arial" w:cs="Arial"/>
          <w:b w:val="0"/>
          <w:bCs w:val="0"/>
          <w:sz w:val="24"/>
          <w:szCs w:val="24"/>
          <w:lang w:val="en-US"/>
        </w:rPr>
        <w:t>Expositora: Cra. Virginia Sosa</w:t>
      </w:r>
    </w:p>
    <w:p w14:paraId="1F24DD4A">
      <w:pPr>
        <w:jc w:val="both"/>
        <w:rPr>
          <w:rFonts w:hint="default" w:ascii="Arial" w:hAnsi="Arial" w:cs="Arial"/>
          <w:b w:val="0"/>
          <w:bCs w:val="0"/>
          <w:sz w:val="24"/>
          <w:szCs w:val="24"/>
          <w:lang w:val="en-US"/>
        </w:rPr>
      </w:pPr>
      <w:r>
        <w:rPr>
          <w:rFonts w:hint="default" w:ascii="Arial" w:hAnsi="Arial" w:cs="Arial"/>
          <w:b w:val="0"/>
          <w:bCs w:val="0"/>
          <w:sz w:val="24"/>
          <w:szCs w:val="24"/>
          <w:lang w:val="en-US"/>
        </w:rPr>
        <w:t>Directora de la Dirección Agentes de Recaudación</w:t>
      </w:r>
    </w:p>
    <w:p w14:paraId="276B63D6">
      <w:pPr>
        <w:jc w:val="both"/>
        <w:rPr>
          <w:rFonts w:hint="default" w:ascii="Arial" w:hAnsi="Arial" w:cs="Arial"/>
          <w:b w:val="0"/>
          <w:bCs w:val="0"/>
          <w:sz w:val="24"/>
          <w:szCs w:val="24"/>
          <w:lang w:val="en-US"/>
        </w:rPr>
      </w:pPr>
      <w:r>
        <w:rPr>
          <w:rFonts w:hint="default" w:ascii="Arial" w:hAnsi="Arial" w:cs="Arial"/>
          <w:b w:val="0"/>
          <w:bCs w:val="0"/>
          <w:sz w:val="24"/>
          <w:szCs w:val="24"/>
          <w:lang w:val="en-US"/>
        </w:rPr>
        <w:t>Subdirección General Agentes de Recaudación, Información y Control de Repeticiones y Compensaciones. DGR- AGIP</w:t>
      </w:r>
    </w:p>
    <w:p w14:paraId="17FA57C8">
      <w:pPr>
        <w:jc w:val="both"/>
        <w:rPr>
          <w:rFonts w:hint="default" w:ascii="Arial" w:hAnsi="Arial" w:eastAsia="SimSun" w:cs="Arial"/>
          <w:b w:val="0"/>
          <w:bCs w:val="0"/>
          <w:sz w:val="24"/>
          <w:szCs w:val="24"/>
        </w:rPr>
      </w:pPr>
    </w:p>
    <w:p w14:paraId="20FCE9A5">
      <w:pPr>
        <w:jc w:val="both"/>
        <w:rPr>
          <w:rFonts w:hint="default" w:ascii="Arial" w:hAnsi="Arial" w:eastAsia="SimSun" w:cs="Arial"/>
          <w:b/>
          <w:bCs/>
          <w:sz w:val="24"/>
          <w:szCs w:val="24"/>
        </w:rPr>
      </w:pPr>
    </w:p>
    <w:p w14:paraId="69CD1DA0">
      <w:pPr>
        <w:jc w:val="both"/>
        <w:rPr>
          <w:rFonts w:hint="default" w:ascii="Arial" w:hAnsi="Arial" w:eastAsia="SimSun" w:cs="Arial"/>
          <w:b/>
          <w:bCs/>
          <w:sz w:val="24"/>
          <w:szCs w:val="24"/>
          <w:u w:val="single"/>
          <w:lang w:val="en-US"/>
        </w:rPr>
      </w:pPr>
      <w:r>
        <w:rPr>
          <w:rFonts w:hint="default" w:ascii="Arial" w:hAnsi="Arial" w:eastAsia="SimSun" w:cs="Arial"/>
          <w:b/>
          <w:bCs/>
          <w:sz w:val="24"/>
          <w:szCs w:val="24"/>
          <w:u w:val="single"/>
          <w:lang w:val="en-US"/>
        </w:rPr>
        <w:t>Material Comentado</w:t>
      </w:r>
    </w:p>
    <w:p w14:paraId="54922DDB">
      <w:pPr>
        <w:jc w:val="both"/>
        <w:rPr>
          <w:rFonts w:hint="default" w:ascii="Arial" w:hAnsi="Arial" w:eastAsia="SimSun" w:cs="Arial"/>
          <w:b/>
          <w:bCs/>
          <w:sz w:val="24"/>
          <w:szCs w:val="24"/>
          <w:u w:val="single"/>
        </w:rPr>
      </w:pPr>
    </w:p>
    <w:p w14:paraId="4BD6F361">
      <w:pPr>
        <w:jc w:val="both"/>
        <w:rPr>
          <w:rFonts w:hint="default" w:ascii="Arial" w:hAnsi="Arial" w:eastAsia="SimSun" w:cs="Arial"/>
          <w:b/>
          <w:bCs/>
          <w:sz w:val="24"/>
          <w:szCs w:val="24"/>
          <w:u w:val="single"/>
          <w:lang w:val="en-US"/>
        </w:rPr>
      </w:pPr>
      <w:r>
        <w:rPr>
          <w:rFonts w:hint="default" w:ascii="Arial" w:hAnsi="Arial" w:eastAsia="SimSun" w:cs="Arial"/>
          <w:b/>
          <w:bCs/>
          <w:sz w:val="24"/>
          <w:szCs w:val="24"/>
          <w:u w:val="single"/>
          <w:lang w:val="en-US"/>
        </w:rPr>
        <w:t xml:space="preserve">1.- </w:t>
      </w:r>
      <w:r>
        <w:rPr>
          <w:rFonts w:hint="default" w:ascii="Arial" w:hAnsi="Arial" w:eastAsia="SimSun" w:cs="Arial"/>
          <w:b/>
          <w:bCs/>
          <w:sz w:val="24"/>
          <w:szCs w:val="24"/>
          <w:u w:val="single"/>
        </w:rPr>
        <w:t>PANORAMA DE LAS ADMINISTRACIONES TRIBUTARIAS EN LOS PAÍSES DEL CIAT</w:t>
      </w:r>
      <w:r>
        <w:rPr>
          <w:rStyle w:val="9"/>
          <w:rFonts w:hint="default" w:ascii="Arial" w:hAnsi="Arial" w:eastAsia="SimSun" w:cs="Arial"/>
          <w:b/>
          <w:bCs/>
          <w:sz w:val="24"/>
          <w:szCs w:val="24"/>
          <w:u w:val="single"/>
        </w:rPr>
        <w:footnoteReference w:id="0"/>
      </w:r>
      <w:r>
        <w:rPr>
          <w:rFonts w:hint="default" w:ascii="Arial" w:hAnsi="Arial" w:eastAsia="SimSun" w:cs="Arial"/>
          <w:b/>
          <w:bCs/>
          <w:sz w:val="24"/>
          <w:szCs w:val="24"/>
          <w:u w:val="single"/>
          <w:lang w:val="en-US"/>
        </w:rPr>
        <w:t xml:space="preserve">: </w:t>
      </w:r>
      <w:r>
        <w:rPr>
          <w:rFonts w:hint="default" w:ascii="Arial" w:hAnsi="Arial" w:eastAsia="SimSun" w:cs="Arial"/>
          <w:b/>
          <w:bCs/>
          <w:sz w:val="24"/>
          <w:szCs w:val="24"/>
          <w:u w:val="single"/>
        </w:rPr>
        <w:t>Encuesta Internacional sobre Administración Tributaria ISORA</w:t>
      </w:r>
      <w:r>
        <w:rPr>
          <w:rFonts w:hint="default" w:ascii="Arial" w:hAnsi="Arial" w:eastAsia="SimSun" w:cs="Arial"/>
          <w:b/>
          <w:bCs/>
          <w:sz w:val="24"/>
          <w:szCs w:val="24"/>
          <w:u w:val="single"/>
          <w:lang w:val="en-US"/>
        </w:rPr>
        <w:t xml:space="preserve">  </w:t>
      </w:r>
    </w:p>
    <w:p w14:paraId="224CF59A">
      <w:pPr>
        <w:jc w:val="both"/>
        <w:rPr>
          <w:rFonts w:hint="default" w:ascii="Arial" w:hAnsi="Arial" w:eastAsia="SimSun" w:cs="Arial"/>
          <w:sz w:val="24"/>
          <w:szCs w:val="24"/>
          <w:lang w:val="en-US"/>
        </w:rPr>
      </w:pPr>
      <w:r>
        <w:rPr>
          <w:rFonts w:hint="default" w:ascii="Arial" w:hAnsi="Arial" w:eastAsia="SimSun" w:cs="Arial"/>
          <w:sz w:val="24"/>
          <w:szCs w:val="24"/>
          <w:lang w:val="en-US"/>
        </w:rPr>
        <w:t xml:space="preserve">Los resultados de la </w:t>
      </w:r>
      <w:r>
        <w:rPr>
          <w:rFonts w:hint="default" w:ascii="Arial" w:hAnsi="Arial" w:eastAsia="SimSun" w:cs="Arial"/>
          <w:sz w:val="24"/>
          <w:szCs w:val="24"/>
        </w:rPr>
        <w:t xml:space="preserve">Encuesta Internacional sobre Administración Tributaria ISORA (International Survey on Revenue Administration, por sus siglas en </w:t>
      </w:r>
      <w:r>
        <w:rPr>
          <w:rFonts w:hint="default" w:ascii="Arial" w:hAnsi="Arial" w:eastAsia="SimSun" w:cs="Arial"/>
          <w:sz w:val="24"/>
          <w:szCs w:val="24"/>
          <w:lang w:val="en-US"/>
        </w:rPr>
        <w:t>inglés) han sido recientemente publicados por el CIAT y se encuentran disponibles en:</w:t>
      </w:r>
    </w:p>
    <w:p w14:paraId="36ECE4BC">
      <w:pPr>
        <w:jc w:val="center"/>
        <w:rPr>
          <w:rFonts w:hint="default" w:ascii="Arial" w:hAnsi="Arial" w:eastAsia="SimSun"/>
          <w:b/>
          <w:bCs/>
          <w:sz w:val="24"/>
          <w:szCs w:val="24"/>
          <w:lang w:val="en-US"/>
        </w:rPr>
      </w:pPr>
      <w:r>
        <w:rPr>
          <w:rFonts w:hint="default" w:ascii="Arial" w:hAnsi="Arial" w:eastAsia="SimSun"/>
          <w:b/>
          <w:bCs/>
          <w:sz w:val="24"/>
          <w:szCs w:val="24"/>
          <w:lang w:val="en-US"/>
        </w:rPr>
        <w:fldChar w:fldCharType="begin"/>
      </w:r>
      <w:r>
        <w:rPr>
          <w:rFonts w:hint="default" w:ascii="Arial" w:hAnsi="Arial" w:eastAsia="SimSun"/>
          <w:b/>
          <w:bCs/>
          <w:sz w:val="24"/>
          <w:szCs w:val="24"/>
          <w:lang w:val="en-US"/>
        </w:rPr>
        <w:instrText xml:space="preserve"> HYPERLINK "https://www.ciat.org/Biblioteca/Estudios/2025_Panorama_Vol_II" </w:instrText>
      </w:r>
      <w:r>
        <w:rPr>
          <w:rFonts w:hint="default" w:ascii="Arial" w:hAnsi="Arial" w:eastAsia="SimSun"/>
          <w:b/>
          <w:bCs/>
          <w:sz w:val="24"/>
          <w:szCs w:val="24"/>
          <w:lang w:val="en-US"/>
        </w:rPr>
        <w:fldChar w:fldCharType="separate"/>
      </w:r>
      <w:r>
        <w:rPr>
          <w:rStyle w:val="10"/>
          <w:rFonts w:hint="default" w:ascii="Arial" w:hAnsi="Arial" w:eastAsia="SimSun"/>
          <w:b/>
          <w:bCs/>
          <w:sz w:val="24"/>
          <w:szCs w:val="24"/>
          <w:lang w:val="en-US"/>
        </w:rPr>
        <w:t>https://www.ciat.org/Biblioteca/Estudios/2025_Panorama_Vol_II</w:t>
      </w:r>
      <w:r>
        <w:rPr>
          <w:rFonts w:hint="default" w:ascii="Arial" w:hAnsi="Arial" w:eastAsia="SimSun"/>
          <w:b/>
          <w:bCs/>
          <w:sz w:val="24"/>
          <w:szCs w:val="24"/>
          <w:lang w:val="en-US"/>
        </w:rPr>
        <w:fldChar w:fldCharType="end"/>
      </w:r>
    </w:p>
    <w:p w14:paraId="62F97F6C">
      <w:pPr>
        <w:jc w:val="both"/>
        <w:rPr>
          <w:rFonts w:hint="default" w:ascii="Arial" w:hAnsi="Arial" w:eastAsia="SimSun" w:cs="Arial"/>
          <w:sz w:val="24"/>
          <w:szCs w:val="24"/>
        </w:rPr>
      </w:pPr>
    </w:p>
    <w:p w14:paraId="4CFE8886">
      <w:pPr>
        <w:jc w:val="both"/>
        <w:rPr>
          <w:rFonts w:hint="default" w:ascii="Arial" w:hAnsi="Arial" w:cs="Arial"/>
          <w:b w:val="0"/>
          <w:bCs w:val="0"/>
          <w:sz w:val="24"/>
          <w:szCs w:val="24"/>
          <w:lang w:val="en-US"/>
        </w:rPr>
      </w:pPr>
      <w:r>
        <w:rPr>
          <w:rFonts w:hint="default" w:ascii="Arial" w:hAnsi="Arial" w:cs="Arial"/>
          <w:b w:val="0"/>
          <w:bCs w:val="0"/>
          <w:sz w:val="24"/>
          <w:szCs w:val="24"/>
          <w:lang w:val="en-US"/>
        </w:rPr>
        <w:t>La información fue recopilada durante 2023 y se refiere a la situación de las administraciones tributarias de 179 países, correspondiente al periodo 2022.</w:t>
      </w:r>
    </w:p>
    <w:p w14:paraId="37B0B770">
      <w:pPr>
        <w:jc w:val="both"/>
        <w:rPr>
          <w:rFonts w:hint="default" w:ascii="Arial" w:hAnsi="Arial" w:cs="Arial"/>
          <w:b w:val="0"/>
          <w:bCs w:val="0"/>
          <w:sz w:val="24"/>
          <w:szCs w:val="24"/>
          <w:lang w:val="en-US"/>
        </w:rPr>
      </w:pPr>
    </w:p>
    <w:p w14:paraId="319E956A">
      <w:pPr>
        <w:jc w:val="both"/>
        <w:rPr>
          <w:rFonts w:hint="default" w:ascii="Arial" w:hAnsi="Arial" w:cs="Arial"/>
          <w:b w:val="0"/>
          <w:bCs w:val="0"/>
          <w:sz w:val="24"/>
          <w:szCs w:val="24"/>
          <w:lang w:val="en-US"/>
        </w:rPr>
      </w:pPr>
      <w:r>
        <w:rPr>
          <w:rFonts w:hint="default" w:ascii="Arial" w:hAnsi="Arial" w:cs="Arial"/>
          <w:b w:val="0"/>
          <w:bCs w:val="0"/>
          <w:sz w:val="24"/>
          <w:szCs w:val="24"/>
          <w:lang w:val="en-US"/>
        </w:rPr>
        <w:t>Se abordaron diversos aspectos de las AT que se agruparon en cuatro  bloques: 1) instrumentos administrados, recaudación y presupuesto; 2) recursos humanos disponibles; 3) organización y funcionamiento operativo (segmentación y registro de contribuyentes, atención y asistencia al contribuyente, presentación de declaraciones y pago de obligaciones, recaudación coactiva de las deudas y Auditorías de fiscalización y control tributario); y 4) técnicas innovadoras y tecnologías de información y comunicación (TIC) aplicadas a la gestión tributaria y a la mejora del cumplimiento tributario.</w:t>
      </w:r>
    </w:p>
    <w:p w14:paraId="0166D024">
      <w:pPr>
        <w:jc w:val="both"/>
        <w:rPr>
          <w:rFonts w:hint="default" w:ascii="Arial" w:hAnsi="Arial" w:cs="Arial"/>
          <w:b w:val="0"/>
          <w:bCs w:val="0"/>
          <w:sz w:val="24"/>
          <w:szCs w:val="24"/>
          <w:lang w:val="en-US"/>
        </w:rPr>
      </w:pPr>
    </w:p>
    <w:p w14:paraId="1746F20B">
      <w:pPr>
        <w:jc w:val="both"/>
        <w:rPr>
          <w:rFonts w:hint="default" w:ascii="Arial" w:hAnsi="Arial" w:cs="Arial"/>
          <w:b w:val="0"/>
          <w:bCs w:val="0"/>
          <w:sz w:val="24"/>
          <w:szCs w:val="24"/>
          <w:lang w:val="en-US"/>
        </w:rPr>
      </w:pPr>
      <w:r>
        <w:rPr>
          <w:rFonts w:hint="default" w:ascii="Arial" w:hAnsi="Arial" w:cs="Arial"/>
          <w:b w:val="0"/>
          <w:bCs w:val="0"/>
          <w:sz w:val="24"/>
          <w:szCs w:val="24"/>
          <w:lang w:val="en-US"/>
        </w:rPr>
        <w:t>En el tercer bloque del documento se expone la información referida a la segmentación de contribuyentes y la gestión del riesgo de cumplimiento . En 2022 el 75,3% de los participantes en ISORA tenía una estrategia oficial de gestión del riesgo de cumplimiento y de ellos la práctica totalidad (96%) disponía de un método formal para identificar, evaluar y priorizar los principales riesgos</w:t>
      </w:r>
      <w:r>
        <w:rPr>
          <w:rStyle w:val="9"/>
          <w:rFonts w:hint="default" w:ascii="Arial" w:hAnsi="Arial" w:cs="Arial"/>
          <w:b w:val="0"/>
          <w:bCs w:val="0"/>
          <w:sz w:val="24"/>
          <w:szCs w:val="24"/>
          <w:lang w:val="en-US"/>
        </w:rPr>
        <w:footnoteReference w:id="1"/>
      </w:r>
      <w:r>
        <w:rPr>
          <w:rFonts w:hint="default" w:ascii="Arial" w:hAnsi="Arial" w:cs="Arial"/>
          <w:b w:val="0"/>
          <w:bCs w:val="0"/>
          <w:sz w:val="24"/>
          <w:szCs w:val="24"/>
          <w:lang w:val="en-US"/>
        </w:rPr>
        <w:t>.</w:t>
      </w:r>
    </w:p>
    <w:p w14:paraId="2D79BFEC">
      <w:pPr>
        <w:numPr>
          <w:ilvl w:val="0"/>
          <w:numId w:val="0"/>
        </w:numPr>
        <w:ind w:leftChars="0"/>
        <w:jc w:val="both"/>
        <w:rPr>
          <w:rFonts w:hint="default" w:ascii="Arial" w:hAnsi="Arial" w:cs="Arial"/>
          <w:b/>
          <w:bCs/>
          <w:sz w:val="24"/>
          <w:szCs w:val="24"/>
          <w:lang w:val="en-US"/>
        </w:rPr>
      </w:pPr>
    </w:p>
    <w:p w14:paraId="22871F1C">
      <w:pPr>
        <w:numPr>
          <w:ilvl w:val="0"/>
          <w:numId w:val="0"/>
        </w:numPr>
        <w:ind w:leftChars="0"/>
        <w:jc w:val="both"/>
        <w:rPr>
          <w:rFonts w:hint="default" w:ascii="Arial" w:hAnsi="Arial" w:cs="Arial"/>
          <w:b/>
          <w:bCs/>
          <w:sz w:val="24"/>
          <w:szCs w:val="24"/>
          <w:lang w:val="en-US"/>
        </w:rPr>
      </w:pPr>
      <w:r>
        <w:rPr>
          <w:rFonts w:hint="default" w:ascii="Arial" w:hAnsi="Arial" w:cs="Arial"/>
          <w:b/>
          <w:bCs/>
          <w:sz w:val="24"/>
          <w:szCs w:val="24"/>
          <w:u w:val="single"/>
          <w:lang w:val="en-US"/>
        </w:rPr>
        <w:t>2.-  ARCA Novedades</w:t>
      </w:r>
    </w:p>
    <w:p w14:paraId="7AA7322C">
      <w:pPr>
        <w:jc w:val="both"/>
        <w:rPr>
          <w:rFonts w:hint="default" w:ascii="Arial" w:hAnsi="Arial" w:eastAsia="SimSun" w:cs="Arial"/>
          <w:b/>
          <w:bCs/>
          <w:sz w:val="24"/>
          <w:szCs w:val="24"/>
          <w:u w:val="single"/>
        </w:rPr>
      </w:pPr>
      <w:r>
        <w:rPr>
          <w:rFonts w:hint="default" w:ascii="Arial" w:hAnsi="Arial" w:cs="Arial"/>
          <w:b/>
          <w:bCs/>
          <w:sz w:val="24"/>
          <w:szCs w:val="24"/>
          <w:u w:val="single"/>
          <w:lang w:val="en-US"/>
        </w:rPr>
        <w:t>I</w:t>
      </w:r>
      <w:r>
        <w:rPr>
          <w:rFonts w:hint="default" w:ascii="Arial" w:hAnsi="Arial" w:eastAsia="SimSun" w:cs="Arial"/>
          <w:b/>
          <w:bCs/>
          <w:sz w:val="24"/>
          <w:szCs w:val="24"/>
          <w:u w:val="single"/>
        </w:rPr>
        <w:t>mplementación de reingeniería del Sistema de Perfil de Riesgo</w:t>
      </w:r>
    </w:p>
    <w:p w14:paraId="619F08C2">
      <w:pPr>
        <w:jc w:val="both"/>
        <w:rPr>
          <w:rFonts w:hint="default" w:ascii="Arial" w:hAnsi="Arial" w:eastAsia="SimSun" w:cs="Arial"/>
          <w:b/>
          <w:bCs/>
          <w:sz w:val="24"/>
          <w:szCs w:val="24"/>
          <w:u w:val="single"/>
        </w:rPr>
      </w:pPr>
    </w:p>
    <w:p w14:paraId="5699AE5C">
      <w:pPr>
        <w:jc w:val="both"/>
        <w:rPr>
          <w:rFonts w:hint="default" w:ascii="Arial" w:hAnsi="Arial" w:eastAsia="SimSun" w:cs="Arial"/>
          <w:b/>
          <w:bCs/>
          <w:i/>
          <w:iCs/>
          <w:sz w:val="24"/>
          <w:szCs w:val="24"/>
        </w:rPr>
      </w:pPr>
      <w:r>
        <w:rPr>
          <w:rFonts w:hint="default" w:ascii="Arial" w:hAnsi="Arial" w:eastAsia="SimSun" w:cs="Arial"/>
          <w:b/>
          <w:bCs/>
          <w:i/>
          <w:iCs/>
          <w:sz w:val="24"/>
          <w:szCs w:val="24"/>
        </w:rPr>
        <w:t>Beneficiará a más de 750 mil contribuyentes, que mejorarán su calificación y quedarán en la categoría de riesgo muy bajo</w:t>
      </w:r>
    </w:p>
    <w:p w14:paraId="0EBB8187">
      <w:pPr>
        <w:keepNext w:val="0"/>
        <w:keepLines w:val="0"/>
        <w:widowControl/>
        <w:suppressLineNumbers w:val="0"/>
        <w:pBdr>
          <w:left w:val="none" w:color="auto" w:sz="0" w:space="0"/>
          <w:right w:val="none" w:color="auto" w:sz="0" w:space="0"/>
        </w:pBdr>
        <w:ind w:left="0" w:right="0"/>
        <w:jc w:val="left"/>
        <w:rPr>
          <w:rFonts w:hint="default" w:ascii="Helvetica" w:hAnsi="Helvetica" w:eastAsia="Helvetica" w:cs="Helvetica"/>
          <w:b/>
          <w:bCs/>
          <w:caps/>
          <w:color w:val="707070"/>
          <w:kern w:val="0"/>
          <w:sz w:val="20"/>
          <w:szCs w:val="20"/>
          <w:lang w:val="en-US" w:eastAsia="zh-CN" w:bidi="ar"/>
        </w:rPr>
      </w:pPr>
      <w:r>
        <w:rPr>
          <w:rFonts w:hint="default" w:ascii="Helvetica" w:hAnsi="Helvetica" w:eastAsia="Helvetica" w:cs="Helvetica"/>
          <w:i/>
          <w:iCs/>
          <w:kern w:val="0"/>
          <w:sz w:val="24"/>
          <w:szCs w:val="24"/>
          <w:lang w:val="en-US" w:eastAsia="zh-CN" w:bidi="ar"/>
        </w:rPr>
        <w:br w:type="textWrapping"/>
      </w:r>
      <w:r>
        <w:rPr>
          <w:rFonts w:hint="default" w:ascii="Helvetica" w:hAnsi="Helvetica" w:eastAsia="Helvetica" w:cs="Helvetica"/>
          <w:b/>
          <w:bCs/>
          <w:caps/>
          <w:color w:val="707070"/>
          <w:kern w:val="0"/>
          <w:sz w:val="20"/>
          <w:szCs w:val="20"/>
          <w:lang w:val="en-US" w:eastAsia="zh-CN" w:bidi="ar"/>
        </w:rPr>
        <w:t>Publicado: 03/10/2025</w:t>
      </w:r>
    </w:p>
    <w:p w14:paraId="171B1C24">
      <w:pPr>
        <w:keepNext w:val="0"/>
        <w:keepLines w:val="0"/>
        <w:widowControl/>
        <w:suppressLineNumbers w:val="0"/>
        <w:pBdr>
          <w:left w:val="none" w:color="auto" w:sz="0" w:space="0"/>
          <w:right w:val="none" w:color="auto" w:sz="0" w:space="0"/>
        </w:pBdr>
        <w:ind w:left="0" w:right="0"/>
        <w:jc w:val="left"/>
        <w:rPr>
          <w:rFonts w:hint="default" w:ascii="Helvetica" w:hAnsi="Helvetica" w:eastAsia="Helvetica" w:cs="Helvetica"/>
          <w:b/>
          <w:bCs/>
          <w:caps/>
          <w:color w:val="707070"/>
          <w:kern w:val="0"/>
          <w:sz w:val="20"/>
          <w:szCs w:val="20"/>
          <w:lang w:val="en-US" w:eastAsia="zh-CN" w:bidi="ar"/>
        </w:rPr>
      </w:pPr>
      <w:r>
        <w:rPr>
          <w:rFonts w:hint="default" w:ascii="Helvetica" w:hAnsi="Helvetica" w:eastAsia="Helvetica"/>
          <w:b/>
          <w:bCs/>
          <w:caps/>
          <w:color w:val="707070"/>
          <w:kern w:val="0"/>
          <w:sz w:val="20"/>
          <w:szCs w:val="20"/>
          <w:lang w:val="en-US" w:eastAsia="zh-CN"/>
        </w:rPr>
        <w:t>https://servicioscf.afip.gob.ar/publico/sitio/contenido/novedad/ver.aspx?id=5202</w:t>
      </w:r>
    </w:p>
    <w:p w14:paraId="4B03E5B0">
      <w:pPr>
        <w:keepNext w:val="0"/>
        <w:keepLines w:val="0"/>
        <w:widowControl/>
        <w:suppressLineNumbers w:val="0"/>
        <w:ind w:left="0" w:right="0"/>
        <w:jc w:val="left"/>
      </w:pPr>
    </w:p>
    <w:p w14:paraId="1259EE60">
      <w:pPr>
        <w:pStyle w:val="13"/>
        <w:keepNext w:val="0"/>
        <w:keepLines w:val="0"/>
        <w:widowControl/>
        <w:suppressLineNumbers w:val="0"/>
        <w:spacing w:before="0" w:beforeAutospacing="0" w:after="120" w:afterAutospacing="0"/>
        <w:ind w:left="0" w:right="0"/>
        <w:jc w:val="both"/>
        <w:rPr>
          <w:rFonts w:hint="default" w:ascii="Helvetica" w:hAnsi="Helvetica" w:eastAsia="Helvetica" w:cs="Helvetica"/>
          <w:i w:val="0"/>
          <w:iCs w:val="0"/>
          <w:sz w:val="21"/>
          <w:szCs w:val="21"/>
        </w:rPr>
      </w:pPr>
      <w:r>
        <w:rPr>
          <w:rFonts w:hint="default" w:ascii="Helvetica" w:hAnsi="Helvetica" w:eastAsia="Helvetica" w:cs="Helvetica"/>
          <w:i/>
          <w:iCs/>
          <w:sz w:val="24"/>
          <w:szCs w:val="24"/>
          <w:lang w:val="en-US"/>
        </w:rPr>
        <w:t>“</w:t>
      </w:r>
      <w:r>
        <w:rPr>
          <w:rFonts w:hint="default" w:ascii="Helvetica" w:hAnsi="Helvetica" w:eastAsia="Helvetica" w:cs="Helvetica"/>
          <w:i/>
          <w:iCs/>
          <w:sz w:val="24"/>
          <w:szCs w:val="24"/>
        </w:rPr>
        <w:t>La Agencia de Recaudación y Control Aduanero (ARCA) adecuó aspectos claves del </w:t>
      </w:r>
      <w:r>
        <w:rPr>
          <w:rStyle w:val="11"/>
          <w:rFonts w:hint="default" w:ascii="Helvetica" w:hAnsi="Helvetica" w:eastAsia="Helvetica" w:cs="Helvetica"/>
          <w:b/>
          <w:bCs/>
          <w:i/>
          <w:iCs/>
          <w:sz w:val="24"/>
          <w:szCs w:val="24"/>
        </w:rPr>
        <w:t>Sistema de Perfil de Riesgo (SIPER)</w:t>
      </w:r>
      <w:r>
        <w:rPr>
          <w:rFonts w:hint="default" w:ascii="Helvetica" w:hAnsi="Helvetica" w:eastAsia="Helvetica" w:cs="Helvetica"/>
          <w:i/>
          <w:iCs/>
          <w:sz w:val="24"/>
          <w:szCs w:val="24"/>
        </w:rPr>
        <w:t>, lo que permitirá que un universo de contribuyentes mejore su calificación ante el organismo y cuente con la posibilidad de acceder a diversos beneficios como </w:t>
      </w:r>
      <w:r>
        <w:rPr>
          <w:rStyle w:val="11"/>
          <w:rFonts w:hint="default" w:ascii="Helvetica" w:hAnsi="Helvetica" w:eastAsia="Helvetica" w:cs="Helvetica"/>
          <w:b/>
          <w:bCs/>
          <w:i/>
          <w:iCs/>
          <w:sz w:val="24"/>
          <w:szCs w:val="24"/>
        </w:rPr>
        <w:t>mayor cantidad de cuotas en planes de facilidad de pagos, simplificación en certificados de no retención y percepciones</w:t>
      </w:r>
      <w:r>
        <w:rPr>
          <w:rFonts w:hint="default" w:ascii="Helvetica" w:hAnsi="Helvetica" w:eastAsia="Helvetica" w:cs="Helvetica"/>
          <w:i/>
          <w:iCs/>
          <w:sz w:val="24"/>
          <w:szCs w:val="24"/>
        </w:rPr>
        <w:t>, entre otras.</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ARCA llevó a cabo esta reingeniería en el proceso de categorización del sistema que permite </w:t>
      </w:r>
      <w:r>
        <w:rPr>
          <w:rStyle w:val="11"/>
          <w:rFonts w:hint="default" w:ascii="Helvetica" w:hAnsi="Helvetica" w:eastAsia="Helvetica" w:cs="Helvetica"/>
          <w:b/>
          <w:bCs/>
          <w:i/>
          <w:iCs/>
          <w:sz w:val="24"/>
          <w:szCs w:val="24"/>
        </w:rPr>
        <w:t>evaluar a los contribuyentes y responsables de acuerdo con el grado de cumplimiento de sus obligaciones fiscales formales y materiales</w:t>
      </w:r>
      <w:r>
        <w:rPr>
          <w:rFonts w:hint="default" w:ascii="Helvetica" w:hAnsi="Helvetica" w:eastAsia="Helvetica" w:cs="Helvetica"/>
          <w:i/>
          <w:iCs/>
          <w:sz w:val="24"/>
          <w:szCs w:val="24"/>
        </w:rPr>
        <w:t>.</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Se trata de la p</w:t>
      </w:r>
      <w:r>
        <w:rPr>
          <w:rStyle w:val="11"/>
          <w:rFonts w:hint="default" w:ascii="Helvetica" w:hAnsi="Helvetica" w:eastAsia="Helvetica" w:cs="Helvetica"/>
          <w:b/>
          <w:bCs/>
          <w:i/>
          <w:iCs/>
          <w:sz w:val="24"/>
          <w:szCs w:val="24"/>
        </w:rPr>
        <w:t>rimera modificación en casi una década</w:t>
      </w:r>
      <w:r>
        <w:rPr>
          <w:rFonts w:hint="default" w:ascii="Helvetica" w:hAnsi="Helvetica" w:eastAsia="Helvetica" w:cs="Helvetica"/>
          <w:i/>
          <w:iCs/>
          <w:sz w:val="24"/>
          <w:szCs w:val="24"/>
        </w:rPr>
        <w:t> que permitirá mejorar la situación ante el fisco de </w:t>
      </w:r>
      <w:r>
        <w:rPr>
          <w:rStyle w:val="11"/>
          <w:rFonts w:hint="default" w:ascii="Helvetica" w:hAnsi="Helvetica" w:eastAsia="Helvetica" w:cs="Helvetica"/>
          <w:b/>
          <w:bCs/>
          <w:i/>
          <w:iCs/>
          <w:sz w:val="24"/>
          <w:szCs w:val="24"/>
        </w:rPr>
        <w:t>750 mil contribuyentes</w:t>
      </w:r>
      <w:r>
        <w:rPr>
          <w:rFonts w:hint="default" w:ascii="Helvetica" w:hAnsi="Helvetica" w:eastAsia="Helvetica" w:cs="Helvetica"/>
          <w:i/>
          <w:iCs/>
          <w:sz w:val="24"/>
          <w:szCs w:val="24"/>
        </w:rPr>
        <w:t>. Esta reingeniería implicó una optimización en la puntuación de desvíos, de los plazos de duración de los comportamientos evaluados y de la metodología de ponderación para la asignación de las categorías (A, B, C, D y E). De esta manera, el 80% de los contribuyentes activos recibirán mejores calificaciones para la obtención de beneficios.</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Cabe recordar que ARCA tiene </w:t>
      </w:r>
      <w:r>
        <w:rPr>
          <w:rStyle w:val="11"/>
          <w:rFonts w:hint="default" w:ascii="Helvetica" w:hAnsi="Helvetica" w:eastAsia="Helvetica" w:cs="Helvetica"/>
          <w:b/>
          <w:bCs/>
          <w:i/>
          <w:iCs/>
          <w:sz w:val="24"/>
          <w:szCs w:val="24"/>
        </w:rPr>
        <w:t>5 categorías</w:t>
      </w:r>
      <w:r>
        <w:rPr>
          <w:rFonts w:hint="default" w:ascii="Helvetica" w:hAnsi="Helvetica" w:eastAsia="Helvetica" w:cs="Helvetica"/>
          <w:i/>
          <w:iCs/>
          <w:sz w:val="24"/>
          <w:szCs w:val="24"/>
        </w:rPr>
        <w:t> dentro del SIPER</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Style w:val="11"/>
          <w:rFonts w:hint="default" w:ascii="Helvetica" w:hAnsi="Helvetica" w:eastAsia="Helvetica" w:cs="Helvetica"/>
          <w:b/>
          <w:bCs/>
          <w:i w:val="0"/>
          <w:iCs w:val="0"/>
          <w:sz w:val="24"/>
          <w:szCs w:val="24"/>
        </w:rPr>
        <w:t>A</w:t>
      </w:r>
      <w:r>
        <w:rPr>
          <w:rStyle w:val="11"/>
          <w:rFonts w:hint="default" w:ascii="Helvetica" w:hAnsi="Helvetica" w:eastAsia="Helvetica" w:cs="Helvetica"/>
          <w:b/>
          <w:bCs/>
          <w:i/>
          <w:iCs/>
          <w:sz w:val="24"/>
          <w:szCs w:val="24"/>
        </w:rPr>
        <w:t>:</w:t>
      </w:r>
      <w:r>
        <w:rPr>
          <w:rFonts w:hint="default" w:ascii="Helvetica" w:hAnsi="Helvetica" w:eastAsia="Helvetica" w:cs="Helvetica"/>
          <w:i/>
          <w:iCs/>
          <w:sz w:val="24"/>
          <w:szCs w:val="24"/>
        </w:rPr>
        <w:t> Riesgo muy bajo</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Style w:val="11"/>
          <w:rFonts w:hint="default" w:ascii="Helvetica" w:hAnsi="Helvetica" w:eastAsia="Helvetica" w:cs="Helvetica"/>
          <w:b/>
          <w:bCs/>
          <w:i/>
          <w:iCs/>
          <w:sz w:val="24"/>
          <w:szCs w:val="24"/>
        </w:rPr>
        <w:t>B:</w:t>
      </w:r>
      <w:r>
        <w:rPr>
          <w:rFonts w:hint="default" w:ascii="Helvetica" w:hAnsi="Helvetica" w:eastAsia="Helvetica" w:cs="Helvetica"/>
          <w:i/>
          <w:iCs/>
          <w:sz w:val="24"/>
          <w:szCs w:val="24"/>
        </w:rPr>
        <w:t> Riesgo bajo</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Style w:val="11"/>
          <w:rFonts w:hint="default" w:ascii="Helvetica" w:hAnsi="Helvetica" w:eastAsia="Helvetica" w:cs="Helvetica"/>
          <w:b/>
          <w:bCs/>
          <w:i/>
          <w:iCs/>
          <w:sz w:val="24"/>
          <w:szCs w:val="24"/>
        </w:rPr>
        <w:t>C:</w:t>
      </w:r>
      <w:r>
        <w:rPr>
          <w:rFonts w:hint="default" w:ascii="Helvetica" w:hAnsi="Helvetica" w:eastAsia="Helvetica" w:cs="Helvetica"/>
          <w:i/>
          <w:iCs/>
          <w:sz w:val="24"/>
          <w:szCs w:val="24"/>
        </w:rPr>
        <w:t> Riesgo medio y nuevas altas</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Style w:val="11"/>
          <w:rFonts w:hint="default" w:ascii="Helvetica" w:hAnsi="Helvetica" w:eastAsia="Helvetica" w:cs="Helvetica"/>
          <w:b/>
          <w:bCs/>
          <w:i/>
          <w:iCs/>
          <w:sz w:val="24"/>
          <w:szCs w:val="24"/>
        </w:rPr>
        <w:t>D:</w:t>
      </w:r>
      <w:r>
        <w:rPr>
          <w:rFonts w:hint="default" w:ascii="Helvetica" w:hAnsi="Helvetica" w:eastAsia="Helvetica" w:cs="Helvetica"/>
          <w:i/>
          <w:iCs/>
          <w:sz w:val="24"/>
          <w:szCs w:val="24"/>
        </w:rPr>
        <w:t> Riesgo alto</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Style w:val="11"/>
          <w:rFonts w:hint="default" w:ascii="Helvetica" w:hAnsi="Helvetica" w:eastAsia="Helvetica" w:cs="Helvetica"/>
          <w:b/>
          <w:bCs/>
          <w:i/>
          <w:iCs/>
          <w:sz w:val="24"/>
          <w:szCs w:val="24"/>
        </w:rPr>
        <w:t>E:</w:t>
      </w:r>
      <w:r>
        <w:rPr>
          <w:rFonts w:hint="default" w:ascii="Helvetica" w:hAnsi="Helvetica" w:eastAsia="Helvetica" w:cs="Helvetica"/>
          <w:i/>
          <w:iCs/>
          <w:sz w:val="24"/>
          <w:szCs w:val="24"/>
        </w:rPr>
        <w:t> Riesgo muy alto</w:t>
      </w:r>
      <w:r>
        <w:rPr>
          <w:rFonts w:hint="default" w:ascii="Helvetica" w:hAnsi="Helvetica" w:eastAsia="Helvetica" w:cs="Helvetica"/>
          <w:i/>
          <w:iCs/>
          <w:sz w:val="24"/>
          <w:szCs w:val="24"/>
        </w:rPr>
        <w:br w:type="textWrapping"/>
      </w:r>
      <w:r>
        <w:rPr>
          <w:rFonts w:hint="default" w:ascii="Helvetica" w:hAnsi="Helvetica" w:eastAsia="Helvetica" w:cs="Helvetica"/>
          <w:i w:val="0"/>
          <w:iCs w:val="0"/>
          <w:sz w:val="21"/>
          <w:szCs w:val="21"/>
        </w:rPr>
        <w:br w:type="textWrapping"/>
      </w:r>
      <w:r>
        <w:rPr>
          <w:rFonts w:hint="default" w:ascii="Helvetica" w:hAnsi="Helvetica" w:eastAsia="Helvetica" w:cs="Helvetica"/>
          <w:i w:val="0"/>
          <w:iCs w:val="0"/>
          <w:sz w:val="21"/>
          <w:szCs w:val="21"/>
        </w:rPr>
        <w:br w:type="textWrapping"/>
      </w:r>
    </w:p>
    <w:p w14:paraId="27ED05E2">
      <w:pPr>
        <w:pStyle w:val="13"/>
        <w:keepNext w:val="0"/>
        <w:keepLines w:val="0"/>
        <w:widowControl/>
        <w:suppressLineNumbers w:val="0"/>
        <w:spacing w:before="0" w:beforeAutospacing="0" w:after="120" w:afterAutospacing="0"/>
        <w:ind w:left="0" w:right="0"/>
        <w:jc w:val="both"/>
        <w:rPr>
          <w:i/>
          <w:iCs/>
          <w:sz w:val="21"/>
          <w:szCs w:val="21"/>
        </w:rPr>
      </w:pPr>
      <w:r>
        <w:rPr>
          <w:rFonts w:hint="default" w:ascii="Arial" w:hAnsi="Arial" w:cs="Arial" w:eastAsiaTheme="minorEastAsia"/>
          <w:b/>
          <w:bCs/>
          <w:i/>
          <w:iCs/>
          <w:kern w:val="0"/>
          <w:sz w:val="24"/>
          <w:szCs w:val="24"/>
          <w:lang w:val="en-US" w:eastAsia="zh-CN" w:bidi="ar-SA"/>
        </w:rPr>
        <w:t xml:space="preserve">¿Es posible manifestar disconformidad con la categoría </w:t>
      </w:r>
      <w:r>
        <w:rPr>
          <w:rStyle w:val="11"/>
          <w:rFonts w:hint="default" w:ascii="Helvetica" w:hAnsi="Helvetica" w:eastAsia="Helvetica" w:cs="Helvetica"/>
          <w:b/>
          <w:bCs/>
          <w:i/>
          <w:iCs/>
          <w:sz w:val="28"/>
          <w:szCs w:val="28"/>
        </w:rPr>
        <w:t>asignada?</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Si el contribuyente y/o responsable considere que los motivos por los cuales se le otorgó la categoría en el SIPER no se condicen con la realidad, podrá efectuar una solicitud de reconsideración a través del servicio web "</w:t>
      </w:r>
      <w:r>
        <w:rPr>
          <w:rFonts w:hint="default" w:ascii="Helvetica" w:hAnsi="Helvetica" w:eastAsia="Helvetica" w:cs="Helvetica"/>
          <w:i/>
          <w:iCs/>
          <w:color w:val="0072BB"/>
          <w:sz w:val="24"/>
          <w:szCs w:val="24"/>
          <w:u w:val="none"/>
        </w:rPr>
        <w:fldChar w:fldCharType="begin"/>
      </w:r>
      <w:r>
        <w:rPr>
          <w:rFonts w:hint="default" w:ascii="Helvetica" w:hAnsi="Helvetica" w:eastAsia="Helvetica" w:cs="Helvetica"/>
          <w:i/>
          <w:iCs/>
          <w:color w:val="0072BB"/>
          <w:sz w:val="24"/>
          <w:szCs w:val="24"/>
          <w:u w:val="none"/>
        </w:rPr>
        <w:instrText xml:space="preserve"> HYPERLINK "https://auth.afip.gob.ar/contribuyente_/login.xhtml?action=SYSTEM&amp;system=padron-puc-consulta-internet" \t "https://servicioscf.afip.gob.ar/publico/sitio/contenido/novedad/_blank" </w:instrText>
      </w:r>
      <w:r>
        <w:rPr>
          <w:rFonts w:hint="default" w:ascii="Helvetica" w:hAnsi="Helvetica" w:eastAsia="Helvetica" w:cs="Helvetica"/>
          <w:i/>
          <w:iCs/>
          <w:color w:val="0072BB"/>
          <w:sz w:val="24"/>
          <w:szCs w:val="24"/>
          <w:u w:val="none"/>
        </w:rPr>
        <w:fldChar w:fldCharType="separate"/>
      </w:r>
      <w:r>
        <w:rPr>
          <w:rStyle w:val="10"/>
          <w:rFonts w:hint="default" w:ascii="Helvetica" w:hAnsi="Helvetica" w:eastAsia="Helvetica" w:cs="Helvetica"/>
          <w:b/>
          <w:bCs/>
          <w:i/>
          <w:iCs/>
          <w:color w:val="0072BB"/>
          <w:sz w:val="24"/>
          <w:szCs w:val="24"/>
          <w:u w:val="none"/>
        </w:rPr>
        <w:t>Sistema Registral</w:t>
      </w:r>
      <w:r>
        <w:rPr>
          <w:rFonts w:hint="default" w:ascii="Helvetica" w:hAnsi="Helvetica" w:eastAsia="Helvetica" w:cs="Helvetica"/>
          <w:i/>
          <w:iCs/>
          <w:color w:val="0072BB"/>
          <w:sz w:val="24"/>
          <w:szCs w:val="24"/>
          <w:u w:val="none"/>
        </w:rPr>
        <w:fldChar w:fldCharType="end"/>
      </w:r>
      <w:r>
        <w:rPr>
          <w:rFonts w:hint="default" w:ascii="Helvetica" w:hAnsi="Helvetica" w:eastAsia="Helvetica" w:cs="Helvetica"/>
          <w:i/>
          <w:iCs/>
          <w:sz w:val="24"/>
          <w:szCs w:val="24"/>
        </w:rPr>
        <w:t>" opción "</w:t>
      </w:r>
      <w:r>
        <w:rPr>
          <w:rStyle w:val="11"/>
          <w:rFonts w:hint="default" w:ascii="Helvetica" w:hAnsi="Helvetica" w:eastAsia="Helvetica" w:cs="Helvetica"/>
          <w:b/>
          <w:bCs/>
          <w:i/>
          <w:iCs/>
          <w:sz w:val="24"/>
          <w:szCs w:val="24"/>
        </w:rPr>
        <w:t>Trámites/SIPER"</w:t>
      </w:r>
      <w:r>
        <w:rPr>
          <w:rFonts w:hint="default" w:ascii="Helvetica" w:hAnsi="Helvetica" w:eastAsia="Helvetica" w:cs="Helvetica"/>
          <w:i/>
          <w:iCs/>
          <w:sz w:val="24"/>
          <w:szCs w:val="24"/>
        </w:rPr>
        <w:t>, seleccionando "</w:t>
      </w:r>
      <w:r>
        <w:rPr>
          <w:rStyle w:val="11"/>
          <w:rFonts w:hint="default" w:ascii="Helvetica" w:hAnsi="Helvetica" w:eastAsia="Helvetica" w:cs="Helvetica"/>
          <w:b/>
          <w:bCs/>
          <w:i/>
          <w:iCs/>
          <w:sz w:val="24"/>
          <w:szCs w:val="24"/>
        </w:rPr>
        <w:t>Solicitud de Reconsideración</w:t>
      </w:r>
      <w:r>
        <w:rPr>
          <w:rFonts w:hint="default" w:ascii="Helvetica" w:hAnsi="Helvetica" w:eastAsia="Helvetica" w:cs="Helvetica"/>
          <w:i/>
          <w:iCs/>
          <w:sz w:val="24"/>
          <w:szCs w:val="24"/>
        </w:rPr>
        <w:t>".</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El SIPER identifica el comportamiento fiscal de todos los contribuyentes inscriptos en ARCA y asigna una categoría, concediendo o limitando los beneficios vinculados con la recaudación, devolución o transferencias de impuestos y recursos de la seguridad social, según el caso de que se trate. Por otra parte, favorece la transparencia, ya que refleja de manera precisa y rápida el comportamiento fiscal de los ciudadanos con el fin de establecer procedimientos diferenciales según cada perfil.</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De esta manera, ARCA continúa implementando modificaciones en sus normativas y procedimientos con el objetivo estratégico de generar un sistema tributario más equilibrado y accesible. Estas medidas buscan reducir la presión fiscal sobre contribuyentes y empresas, simplificando obligaciones, y ofreciendo alternativas que faciliten el cumplimiento.</w:t>
      </w:r>
      <w:r>
        <w:rPr>
          <w:rFonts w:hint="default" w:ascii="Helvetica" w:hAnsi="Helvetica" w:eastAsia="Helvetica" w:cs="Helvetica"/>
          <w:i/>
          <w:iCs/>
          <w:sz w:val="21"/>
          <w:szCs w:val="21"/>
        </w:rPr>
        <w:br w:type="textWrapping"/>
      </w:r>
      <w:r>
        <w:rPr>
          <w:rFonts w:hint="default" w:ascii="Helvetica" w:hAnsi="Helvetica" w:eastAsia="Helvetica" w:cs="Helvetica"/>
          <w:i/>
          <w:iCs/>
          <w:sz w:val="21"/>
          <w:szCs w:val="21"/>
        </w:rPr>
        <w:br w:type="textWrapping"/>
      </w:r>
      <w:r>
        <w:rPr>
          <w:rFonts w:hint="default" w:ascii="Helvetica" w:hAnsi="Helvetica" w:eastAsia="Helvetica" w:cs="Helvetica"/>
          <w:i/>
          <w:iCs/>
          <w:sz w:val="24"/>
          <w:szCs w:val="24"/>
        </w:rPr>
        <w:t>Los contribuyentes podrán consultar en </w:t>
      </w:r>
      <w:r>
        <w:rPr>
          <w:rFonts w:hint="default" w:ascii="Helvetica" w:hAnsi="Helvetica" w:eastAsia="Helvetica" w:cs="Helvetica"/>
          <w:i/>
          <w:iCs/>
          <w:color w:val="0072BB"/>
          <w:sz w:val="24"/>
          <w:szCs w:val="24"/>
          <w:u w:val="none"/>
        </w:rPr>
        <w:fldChar w:fldCharType="begin"/>
      </w:r>
      <w:r>
        <w:rPr>
          <w:rFonts w:hint="default" w:ascii="Helvetica" w:hAnsi="Helvetica" w:eastAsia="Helvetica" w:cs="Helvetica"/>
          <w:i/>
          <w:iCs/>
          <w:color w:val="0072BB"/>
          <w:sz w:val="24"/>
          <w:szCs w:val="24"/>
          <w:u w:val="none"/>
        </w:rPr>
        <w:instrText xml:space="preserve"> HYPERLINK "http://www.arca.gob.ar/siper" \t "https://servicioscf.afip.gob.ar/publico/sitio/contenido/novedad/_blank" </w:instrText>
      </w:r>
      <w:r>
        <w:rPr>
          <w:rFonts w:hint="default" w:ascii="Helvetica" w:hAnsi="Helvetica" w:eastAsia="Helvetica" w:cs="Helvetica"/>
          <w:i/>
          <w:iCs/>
          <w:color w:val="0072BB"/>
          <w:sz w:val="24"/>
          <w:szCs w:val="24"/>
          <w:u w:val="none"/>
        </w:rPr>
        <w:fldChar w:fldCharType="separate"/>
      </w:r>
      <w:r>
        <w:rPr>
          <w:rStyle w:val="10"/>
          <w:rFonts w:hint="default" w:ascii="Helvetica" w:hAnsi="Helvetica" w:eastAsia="Helvetica" w:cs="Helvetica"/>
          <w:i/>
          <w:iCs/>
          <w:color w:val="0072BB"/>
          <w:sz w:val="24"/>
          <w:szCs w:val="24"/>
          <w:u w:val="none"/>
        </w:rPr>
        <w:t>www.arca.gob.ar/siper</w:t>
      </w:r>
      <w:r>
        <w:rPr>
          <w:rFonts w:hint="default" w:ascii="Helvetica" w:hAnsi="Helvetica" w:eastAsia="Helvetica" w:cs="Helvetica"/>
          <w:i/>
          <w:iCs/>
          <w:color w:val="0072BB"/>
          <w:sz w:val="24"/>
          <w:szCs w:val="24"/>
          <w:u w:val="none"/>
        </w:rPr>
        <w:fldChar w:fldCharType="end"/>
      </w:r>
      <w:r>
        <w:rPr>
          <w:rFonts w:hint="default" w:ascii="Helvetica" w:hAnsi="Helvetica" w:eastAsia="Helvetica" w:cs="Helvetica"/>
          <w:i/>
          <w:iCs/>
          <w:sz w:val="24"/>
          <w:szCs w:val="24"/>
        </w:rPr>
        <w:t> su calificación, como así también las situaciones que se tienen en cuenta para la evaluación de su perfil.</w:t>
      </w:r>
    </w:p>
    <w:p w14:paraId="4F513DC6">
      <w:pPr>
        <w:keepNext w:val="0"/>
        <w:keepLines w:val="0"/>
        <w:widowControl/>
        <w:suppressLineNumbers w:val="0"/>
        <w:pBdr>
          <w:left w:val="none" w:color="auto" w:sz="0" w:space="0"/>
          <w:right w:val="none" w:color="auto" w:sz="0" w:space="0"/>
        </w:pBdr>
        <w:ind w:left="0" w:right="0"/>
        <w:jc w:val="left"/>
        <w:rPr>
          <w:rFonts w:hint="default" w:ascii="Helvetica" w:hAnsi="Helvetica" w:eastAsia="Helvetica" w:cs="Helvetica"/>
          <w:i w:val="0"/>
          <w:iCs w:val="0"/>
        </w:rPr>
      </w:pPr>
    </w:p>
    <w:p w14:paraId="4577F983">
      <w:pPr>
        <w:numPr>
          <w:ilvl w:val="0"/>
          <w:numId w:val="2"/>
        </w:numPr>
        <w:ind w:left="0" w:leftChars="0" w:firstLine="0" w:firstLineChars="0"/>
        <w:jc w:val="both"/>
        <w:rPr>
          <w:rFonts w:hint="default" w:ascii="Arial" w:hAnsi="Arial" w:cs="Arial"/>
          <w:b/>
          <w:bCs/>
          <w:sz w:val="24"/>
          <w:szCs w:val="24"/>
          <w:u w:val="single"/>
          <w:lang w:val="en-US"/>
        </w:rPr>
      </w:pPr>
      <w:r>
        <w:rPr>
          <w:rFonts w:hint="default" w:ascii="Arial" w:hAnsi="Arial" w:cs="Arial"/>
          <w:b/>
          <w:bCs/>
          <w:sz w:val="24"/>
          <w:szCs w:val="24"/>
          <w:u w:val="single"/>
          <w:lang w:val="en-US"/>
        </w:rPr>
        <w:t xml:space="preserve">- Monotributo Unificado- CABA </w:t>
      </w:r>
    </w:p>
    <w:p w14:paraId="46E3ADBD">
      <w:pPr>
        <w:numPr>
          <w:ilvl w:val="0"/>
          <w:numId w:val="0"/>
        </w:numPr>
        <w:jc w:val="both"/>
        <w:rPr>
          <w:rFonts w:hint="default" w:ascii="Arial" w:hAnsi="Arial" w:cs="Arial"/>
          <w:b/>
          <w:bCs/>
          <w:sz w:val="24"/>
          <w:szCs w:val="24"/>
          <w:u w:val="single"/>
          <w:lang w:val="en-US"/>
        </w:rPr>
      </w:pPr>
    </w:p>
    <w:p w14:paraId="52251167">
      <w:pPr>
        <w:numPr>
          <w:ilvl w:val="0"/>
          <w:numId w:val="0"/>
        </w:numPr>
        <w:jc w:val="both"/>
        <w:rPr>
          <w:rFonts w:hint="default" w:ascii="Arial" w:hAnsi="Arial" w:cs="Arial"/>
          <w:b/>
          <w:bCs/>
          <w:sz w:val="24"/>
          <w:szCs w:val="24"/>
          <w:u w:val="single"/>
          <w:lang w:val="en-US"/>
        </w:rPr>
      </w:pPr>
      <w:r>
        <w:rPr>
          <w:rFonts w:hint="default" w:ascii="Arial" w:hAnsi="Arial" w:cs="Arial"/>
          <w:b/>
          <w:bCs/>
          <w:sz w:val="24"/>
          <w:szCs w:val="24"/>
          <w:u w:val="single"/>
          <w:lang w:val="en-US"/>
        </w:rPr>
        <w:t xml:space="preserve">AGIP se suma al Monotributo Unificado a partir de enero 2026 </w:t>
      </w:r>
    </w:p>
    <w:p w14:paraId="02F2B649">
      <w:pPr>
        <w:jc w:val="both"/>
        <w:rPr>
          <w:rFonts w:hint="default" w:ascii="Arial" w:hAnsi="Arial" w:cs="Arial"/>
          <w:b w:val="0"/>
          <w:bCs w:val="0"/>
          <w:sz w:val="24"/>
          <w:szCs w:val="24"/>
          <w:lang w:val="en-US"/>
        </w:rPr>
      </w:pPr>
    </w:p>
    <w:p w14:paraId="67E59102">
      <w:pPr>
        <w:jc w:val="both"/>
        <w:rPr>
          <w:rFonts w:hint="default" w:ascii="Arial" w:hAnsi="Arial" w:cs="Arial"/>
          <w:b w:val="0"/>
          <w:bCs w:val="0"/>
          <w:sz w:val="24"/>
          <w:szCs w:val="24"/>
          <w:lang w:val="en-US"/>
        </w:rPr>
      </w:pPr>
      <w:r>
        <w:rPr>
          <w:rFonts w:hint="default" w:ascii="Arial" w:hAnsi="Arial" w:cs="Arial"/>
          <w:b w:val="0"/>
          <w:bCs w:val="0"/>
          <w:sz w:val="24"/>
          <w:szCs w:val="24"/>
          <w:lang w:val="en-US"/>
        </w:rPr>
        <w:t xml:space="preserve">ARCA y AGIP  dictaron la </w:t>
      </w:r>
      <w:r>
        <w:rPr>
          <w:rFonts w:hint="default" w:ascii="Arial" w:hAnsi="Arial" w:cs="Arial"/>
          <w:b w:val="0"/>
          <w:bCs w:val="0"/>
          <w:sz w:val="24"/>
          <w:szCs w:val="24"/>
          <w:lang w:val="en-US"/>
        </w:rPr>
        <w:fldChar w:fldCharType="begin"/>
      </w:r>
      <w:r>
        <w:rPr>
          <w:rFonts w:hint="default" w:ascii="Arial" w:hAnsi="Arial" w:cs="Arial"/>
          <w:b w:val="0"/>
          <w:bCs w:val="0"/>
          <w:sz w:val="24"/>
          <w:szCs w:val="24"/>
          <w:lang w:val="en-US"/>
        </w:rPr>
        <w:instrText xml:space="preserve"> HYPERLINK "https://documento.errepar.com/incorporacion-en-el-sistema-unico-tributario-a-pequenos-contribuyentes-con-domicilio-fiscal-en-20251003093927159" \t "https://documento.errepar.com/actualidad/_blank" </w:instrText>
      </w:r>
      <w:r>
        <w:rPr>
          <w:rFonts w:hint="default" w:ascii="Arial" w:hAnsi="Arial" w:cs="Arial"/>
          <w:b w:val="0"/>
          <w:bCs w:val="0"/>
          <w:sz w:val="24"/>
          <w:szCs w:val="24"/>
          <w:lang w:val="en-US"/>
        </w:rPr>
        <w:fldChar w:fldCharType="separate"/>
      </w:r>
      <w:r>
        <w:rPr>
          <w:rFonts w:hint="default" w:ascii="Arial" w:hAnsi="Arial" w:cs="Arial"/>
          <w:b w:val="0"/>
          <w:bCs w:val="0"/>
          <w:sz w:val="24"/>
          <w:szCs w:val="24"/>
          <w:lang w:val="en-US"/>
        </w:rPr>
        <w:t>Resolución General Conjunta 5769/2025</w:t>
      </w:r>
      <w:r>
        <w:rPr>
          <w:rFonts w:hint="default" w:ascii="Arial" w:hAnsi="Arial" w:cs="Arial"/>
          <w:b w:val="0"/>
          <w:bCs w:val="0"/>
          <w:sz w:val="24"/>
          <w:szCs w:val="24"/>
          <w:lang w:val="en-US"/>
        </w:rPr>
        <w:fldChar w:fldCharType="end"/>
      </w:r>
      <w:r>
        <w:rPr>
          <w:rFonts w:hint="default" w:ascii="Arial" w:hAnsi="Arial" w:cs="Arial"/>
          <w:b w:val="0"/>
          <w:bCs w:val="0"/>
          <w:sz w:val="24"/>
          <w:szCs w:val="24"/>
          <w:lang w:val="en-US"/>
        </w:rPr>
        <w:t>, que formaliza la incorporación de la CABA al Sistema Único Tributario (SUT), conocido como Monotributo Unificado. De esta forma son catorce las jurisdicciones que adoptaron este sistema. La primera en adherirse fue Córdoba en Julio 2018 (RGC 4263-18). Le siguieron:   Mendoza, San Juan, Jujuy, Rio Negro, Entre Ríos, Salta, Buenos Aires, Neuquén,  Santa Cruz, Chaco, Catamarca y Tierra del Fuego.</w:t>
      </w:r>
    </w:p>
    <w:p w14:paraId="6A4C58F6">
      <w:pPr>
        <w:jc w:val="both"/>
        <w:rPr>
          <w:rFonts w:hint="default" w:ascii="Arial" w:hAnsi="Arial" w:cs="Arial"/>
          <w:b w:val="0"/>
          <w:bCs w:val="0"/>
          <w:sz w:val="24"/>
          <w:szCs w:val="24"/>
          <w:lang w:val="en-US"/>
        </w:rPr>
      </w:pPr>
    </w:p>
    <w:p w14:paraId="2EF9F2B4">
      <w:pPr>
        <w:jc w:val="both"/>
        <w:rPr>
          <w:rFonts w:hint="default" w:ascii="Arial" w:hAnsi="Arial" w:cs="Arial"/>
          <w:b w:val="0"/>
          <w:bCs w:val="0"/>
          <w:sz w:val="24"/>
          <w:szCs w:val="24"/>
          <w:lang w:val="en-US"/>
        </w:rPr>
      </w:pPr>
      <w:r>
        <w:rPr>
          <w:rFonts w:hint="default" w:ascii="Arial" w:hAnsi="Arial" w:cs="Arial"/>
          <w:b w:val="0"/>
          <w:bCs w:val="0"/>
          <w:sz w:val="24"/>
          <w:szCs w:val="24"/>
          <w:lang w:val="en-US"/>
        </w:rPr>
        <w:t>Incluye al universo de contribuyentes alcanzados por el Monotributo que revisten la calidad de contribuyentes locales , encuadrados en el Régimen Simplificado del Impuesto sobre los Ingresos Brutos. Es decir, que en un solo pago y en un único VEP los pequeños contribuyentes alcanzados abonarán el Impuesto sobre los Ingresos Brutos de la provincia, IVA, Ganancias y el componente previsional -aportes jubilatorios y obra social-.</w:t>
      </w:r>
    </w:p>
    <w:p w14:paraId="1684C4D8">
      <w:pPr>
        <w:jc w:val="both"/>
        <w:rPr>
          <w:rFonts w:hint="default" w:ascii="Arial" w:hAnsi="Arial" w:cs="Arial"/>
          <w:b w:val="0"/>
          <w:bCs w:val="0"/>
          <w:sz w:val="24"/>
          <w:szCs w:val="24"/>
          <w:lang w:val="en-US"/>
        </w:rPr>
      </w:pPr>
    </w:p>
    <w:p w14:paraId="4A9F0754">
      <w:pPr>
        <w:jc w:val="both"/>
        <w:rPr>
          <w:rFonts w:hint="default" w:ascii="Arial" w:hAnsi="Arial" w:cs="Arial"/>
          <w:b w:val="0"/>
          <w:bCs w:val="0"/>
          <w:sz w:val="24"/>
          <w:szCs w:val="24"/>
          <w:lang w:val="en-US"/>
        </w:rPr>
      </w:pPr>
    </w:p>
    <w:p w14:paraId="60E2CEC6">
      <w:pPr>
        <w:jc w:val="both"/>
        <w:rPr>
          <w:rFonts w:cs="Arial"/>
          <w:b/>
          <w:sz w:val="24"/>
          <w:szCs w:val="24"/>
        </w:rPr>
      </w:pPr>
      <w:r>
        <w:rPr>
          <w:rFonts w:cs="Arial"/>
          <w:b/>
          <w:sz w:val="24"/>
          <w:szCs w:val="24"/>
        </w:rPr>
        <w:t>Ventajas:</w:t>
      </w:r>
    </w:p>
    <w:p w14:paraId="344413AD">
      <w:pPr>
        <w:numPr>
          <w:ilvl w:val="0"/>
          <w:numId w:val="3"/>
        </w:numPr>
        <w:jc w:val="both"/>
        <w:rPr>
          <w:iCs/>
          <w:color w:val="000000"/>
          <w:sz w:val="24"/>
          <w:szCs w:val="24"/>
        </w:rPr>
      </w:pPr>
      <w:r>
        <w:rPr>
          <w:iCs/>
          <w:color w:val="000000"/>
          <w:sz w:val="24"/>
          <w:szCs w:val="24"/>
        </w:rPr>
        <w:t>Simplificación que facilita al contribuyente el cumplimiento de su obligación</w:t>
      </w:r>
    </w:p>
    <w:p w14:paraId="56987745">
      <w:pPr>
        <w:numPr>
          <w:ilvl w:val="0"/>
          <w:numId w:val="3"/>
        </w:numPr>
        <w:jc w:val="both"/>
        <w:rPr>
          <w:iCs/>
          <w:color w:val="000000"/>
          <w:sz w:val="24"/>
          <w:szCs w:val="24"/>
        </w:rPr>
      </w:pPr>
      <w:r>
        <w:rPr>
          <w:rFonts w:hint="default"/>
          <w:iCs/>
          <w:color w:val="000000"/>
          <w:sz w:val="24"/>
          <w:szCs w:val="24"/>
          <w:lang w:val="en-US"/>
        </w:rPr>
        <w:t>M</w:t>
      </w:r>
      <w:r>
        <w:rPr>
          <w:iCs/>
          <w:color w:val="000000"/>
          <w:sz w:val="24"/>
          <w:szCs w:val="24"/>
        </w:rPr>
        <w:t xml:space="preserve">enor carga administrativa </w:t>
      </w:r>
    </w:p>
    <w:p w14:paraId="04890D14">
      <w:pPr>
        <w:numPr>
          <w:ilvl w:val="0"/>
          <w:numId w:val="3"/>
        </w:numPr>
        <w:jc w:val="both"/>
        <w:rPr>
          <w:iCs/>
          <w:color w:val="000000"/>
          <w:sz w:val="24"/>
          <w:szCs w:val="24"/>
        </w:rPr>
      </w:pPr>
      <w:r>
        <w:rPr>
          <w:rFonts w:hint="default"/>
          <w:iCs/>
          <w:color w:val="000000"/>
          <w:sz w:val="24"/>
          <w:szCs w:val="24"/>
          <w:lang w:val="en-US"/>
        </w:rPr>
        <w:t>Exclusión</w:t>
      </w:r>
      <w:r>
        <w:rPr>
          <w:iCs/>
          <w:color w:val="000000"/>
          <w:sz w:val="24"/>
          <w:szCs w:val="24"/>
        </w:rPr>
        <w:t xml:space="preserve"> de los regímenes de retención, percepción y recaudación bancaria del Impuesto sobre los Ingresos Brutos, vigentes para el resto del universo</w:t>
      </w:r>
    </w:p>
    <w:p w14:paraId="4FF5E398">
      <w:pPr>
        <w:numPr>
          <w:ilvl w:val="0"/>
          <w:numId w:val="3"/>
        </w:numPr>
        <w:jc w:val="both"/>
        <w:rPr>
          <w:iCs/>
          <w:color w:val="000000"/>
          <w:sz w:val="24"/>
          <w:szCs w:val="24"/>
        </w:rPr>
      </w:pPr>
      <w:r>
        <w:rPr>
          <w:iCs/>
          <w:color w:val="000000"/>
          <w:sz w:val="24"/>
          <w:szCs w:val="24"/>
        </w:rPr>
        <w:t>Unificación del vencimiento para ambos impuestos (nacional y provincial)</w:t>
      </w:r>
    </w:p>
    <w:p w14:paraId="0A1A6A80">
      <w:pPr>
        <w:numPr>
          <w:ilvl w:val="0"/>
          <w:numId w:val="3"/>
        </w:numPr>
        <w:jc w:val="both"/>
        <w:rPr>
          <w:iCs/>
          <w:color w:val="000000"/>
          <w:sz w:val="24"/>
          <w:szCs w:val="24"/>
        </w:rPr>
      </w:pPr>
      <w:r>
        <w:rPr>
          <w:iCs/>
          <w:color w:val="000000"/>
          <w:sz w:val="24"/>
          <w:szCs w:val="24"/>
        </w:rPr>
        <w:t xml:space="preserve">Posibilidad de utilización de </w:t>
      </w:r>
      <w:r>
        <w:rPr>
          <w:rFonts w:hint="default"/>
          <w:iCs/>
          <w:color w:val="000000"/>
          <w:sz w:val="24"/>
          <w:szCs w:val="24"/>
          <w:lang w:val="en-US"/>
        </w:rPr>
        <w:t>más</w:t>
      </w:r>
      <w:r>
        <w:rPr>
          <w:iCs/>
          <w:color w:val="000000"/>
          <w:sz w:val="24"/>
          <w:szCs w:val="24"/>
        </w:rPr>
        <w:t xml:space="preserve"> medios de pago </w:t>
      </w:r>
    </w:p>
    <w:p w14:paraId="3C793328">
      <w:pPr>
        <w:numPr>
          <w:ilvl w:val="0"/>
          <w:numId w:val="3"/>
        </w:numPr>
        <w:jc w:val="both"/>
        <w:rPr>
          <w:iCs/>
          <w:color w:val="000000"/>
          <w:sz w:val="24"/>
          <w:szCs w:val="24"/>
        </w:rPr>
      </w:pPr>
      <w:r>
        <w:rPr>
          <w:rFonts w:hint="default"/>
          <w:iCs/>
          <w:color w:val="000000"/>
          <w:sz w:val="24"/>
          <w:szCs w:val="24"/>
          <w:lang w:val="en-US"/>
        </w:rPr>
        <w:t xml:space="preserve">Eliminación de </w:t>
      </w:r>
      <w:r>
        <w:rPr>
          <w:iCs/>
          <w:color w:val="000000"/>
          <w:sz w:val="24"/>
          <w:szCs w:val="24"/>
        </w:rPr>
        <w:t>obligac</w:t>
      </w:r>
      <w:r>
        <w:rPr>
          <w:rFonts w:hint="default"/>
          <w:iCs/>
          <w:color w:val="000000"/>
          <w:sz w:val="24"/>
          <w:szCs w:val="24"/>
          <w:lang w:val="en-US"/>
        </w:rPr>
        <w:t xml:space="preserve">iones a cumplir por </w:t>
      </w:r>
      <w:r>
        <w:rPr>
          <w:iCs/>
          <w:color w:val="000000"/>
          <w:sz w:val="24"/>
          <w:szCs w:val="24"/>
        </w:rPr>
        <w:t>los contribuyentes , evitando sanciones, multas e intereses por infracción a los deberes formales</w:t>
      </w:r>
    </w:p>
    <w:p w14:paraId="63E82720">
      <w:pPr>
        <w:numPr>
          <w:ilvl w:val="0"/>
          <w:numId w:val="3"/>
        </w:numPr>
        <w:jc w:val="both"/>
        <w:rPr>
          <w:iCs/>
          <w:color w:val="000000"/>
          <w:sz w:val="24"/>
          <w:szCs w:val="24"/>
        </w:rPr>
      </w:pPr>
      <w:r>
        <w:rPr>
          <w:iCs/>
          <w:color w:val="000000"/>
          <w:sz w:val="24"/>
          <w:szCs w:val="24"/>
        </w:rPr>
        <w:t>Formalización de los pequeños contribuyentes, que a la fecha no se encuentran dentro del sistema, contribuyendo a la inclusión social</w:t>
      </w:r>
    </w:p>
    <w:p w14:paraId="59D0B4D4">
      <w:pPr>
        <w:numPr>
          <w:ilvl w:val="0"/>
          <w:numId w:val="3"/>
        </w:numPr>
        <w:shd w:val="clear" w:color="auto" w:fill="FFFFFF"/>
        <w:jc w:val="both"/>
        <w:rPr>
          <w:iCs/>
          <w:color w:val="000000"/>
          <w:sz w:val="24"/>
          <w:szCs w:val="24"/>
        </w:rPr>
      </w:pPr>
      <w:r>
        <w:rPr>
          <w:iCs/>
          <w:color w:val="000000"/>
          <w:sz w:val="24"/>
          <w:szCs w:val="24"/>
        </w:rPr>
        <w:t>Reducción del riesgo de evasión del contribuyente local al compartir la nómina de contribuyentes con A</w:t>
      </w:r>
      <w:r>
        <w:rPr>
          <w:rFonts w:hint="default"/>
          <w:iCs/>
          <w:color w:val="000000"/>
          <w:sz w:val="24"/>
          <w:szCs w:val="24"/>
          <w:lang w:val="en-US"/>
        </w:rPr>
        <w:t>RCA</w:t>
      </w:r>
    </w:p>
    <w:p w14:paraId="6D983C44">
      <w:pPr>
        <w:numPr>
          <w:ilvl w:val="0"/>
          <w:numId w:val="3"/>
        </w:numPr>
        <w:jc w:val="both"/>
        <w:rPr>
          <w:rFonts w:hint="default"/>
          <w:sz w:val="24"/>
          <w:szCs w:val="24"/>
          <w:lang w:val="en-US"/>
        </w:rPr>
      </w:pPr>
      <w:r>
        <w:rPr>
          <w:sz w:val="24"/>
          <w:szCs w:val="24"/>
          <w:lang w:val="es-AR"/>
        </w:rPr>
        <w:t>Cooperación entre las administraciones tributarias involucradas, que realizan acciones conjuntas para el mejor desarrollo institucional de cada una de ellas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3C6BA0F1">
      <w:pPr>
        <w:pStyle w:val="12"/>
        <w:snapToGrid w:val="0"/>
        <w:jc w:val="both"/>
        <w:rPr>
          <w:sz w:val="18"/>
          <w:szCs w:val="18"/>
        </w:rPr>
      </w:pPr>
      <w:r>
        <w:rPr>
          <w:rStyle w:val="9"/>
        </w:rPr>
        <w:footnoteRef/>
      </w:r>
      <w:r>
        <w:t xml:space="preserve"> </w:t>
      </w:r>
      <w:r>
        <w:rPr>
          <w:rFonts w:ascii="SimSun" w:hAnsi="SimSun" w:eastAsia="SimSun" w:cs="SimSun"/>
          <w:sz w:val="18"/>
          <w:szCs w:val="18"/>
        </w:rPr>
        <w:t xml:space="preserve">Garcimartin, C. y Díaz de Sarralde Míguez, S. (2025). Panorama de las administraciones tributarias en los países del CIAT. Resultados de la Encuesta ISORA 2023. Volumen II </w:t>
      </w:r>
      <w:r>
        <w:rPr>
          <w:rFonts w:hint="default" w:ascii="SimSun" w:hAnsi="SimSun" w:eastAsia="SimSun" w:cs="SimSun"/>
          <w:sz w:val="18"/>
          <w:szCs w:val="18"/>
          <w:lang w:val="en-US"/>
        </w:rPr>
        <w:t>-</w:t>
      </w:r>
      <w:r>
        <w:rPr>
          <w:rFonts w:ascii="SimSun" w:hAnsi="SimSun" w:eastAsia="SimSun" w:cs="SimSun"/>
          <w:sz w:val="18"/>
          <w:szCs w:val="18"/>
        </w:rPr>
        <w:t xml:space="preserve"> Centro Interamericano de Administraciones Tributarias (CIAT).</w:t>
      </w:r>
    </w:p>
  </w:footnote>
  <w:footnote w:id="1">
    <w:p w14:paraId="3913DE8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line="24" w:lineRule="atLeast"/>
        <w:ind w:left="0" w:right="192" w:hanging="360"/>
        <w:jc w:val="both"/>
        <w:rPr>
          <w:rFonts w:hint="default" w:ascii="SimSun" w:hAnsi="SimSun" w:eastAsia="SimSun" w:cs="SimSun"/>
          <w:sz w:val="18"/>
          <w:szCs w:val="18"/>
          <w:lang w:val="en-US" w:eastAsia="zh-CN" w:bidi="ar-SA"/>
        </w:rPr>
      </w:pPr>
      <w:r>
        <w:rPr>
          <w:rStyle w:val="9"/>
          <w:rFonts w:hint="default" w:ascii="Times New Roman" w:hAnsi="Times New Roman" w:eastAsia="SimSun" w:cs="Times New Roman"/>
          <w:sz w:val="18"/>
          <w:szCs w:val="18"/>
          <w:vertAlign w:val="superscript"/>
          <w:lang w:val="en-US" w:eastAsia="zh-CN" w:bidi="ar-SA"/>
        </w:rPr>
        <w:footnoteRef/>
      </w:r>
      <w:r>
        <w:rPr>
          <w:rFonts w:hint="default" w:ascii="SimSun" w:hAnsi="SimSun" w:eastAsia="SimSun" w:cs="SimSun"/>
          <w:b w:val="0"/>
          <w:bCs w:val="0"/>
          <w:kern w:val="0"/>
          <w:sz w:val="18"/>
          <w:szCs w:val="18"/>
          <w:lang w:val="en-US" w:eastAsia="zh-CN" w:bidi="ar-SA"/>
        </w:rPr>
        <w:t xml:space="preserve"> </w:t>
      </w:r>
      <w:r>
        <w:rPr>
          <w:rFonts w:hint="default" w:ascii="SimSun" w:hAnsi="SimSun" w:eastAsia="SimSun" w:cs="SimSun"/>
          <w:sz w:val="18"/>
          <w:szCs w:val="18"/>
          <w:lang w:val="en-US" w:eastAsia="zh-CN" w:bidi="ar-SA"/>
        </w:rPr>
        <w:t xml:space="preserve">Para ampliar Gestión de riesgos del cumplimiento y segmentación de contribuyentes en las AT. Autor Alfredo Collosa, Mayo 2025;  </w:t>
      </w:r>
      <w:r>
        <w:rPr>
          <w:rFonts w:hint="default" w:ascii="SimSun" w:hAnsi="SimSun" w:eastAsia="SimSun"/>
          <w:sz w:val="18"/>
          <w:szCs w:val="18"/>
          <w:lang w:val="en-US" w:eastAsia="zh-CN"/>
        </w:rPr>
        <w:t>https://www.ciat.org/gestion-de-riesgos-del-cumplimiento-y-segmentacion-de-contribuyentes-en-las-administraciones-tributarias/</w:t>
      </w:r>
    </w:p>
    <w:p w14:paraId="07A38325">
      <w:pPr>
        <w:pStyle w:val="12"/>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1D24B4"/>
    <w:multiLevelType w:val="multilevel"/>
    <w:tmpl w:val="EF1D24B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1EA2CD34"/>
    <w:multiLevelType w:val="singleLevel"/>
    <w:tmpl w:val="1EA2CD34"/>
    <w:lvl w:ilvl="0" w:tentative="0">
      <w:start w:val="1"/>
      <w:numFmt w:val="decimal"/>
      <w:suff w:val="space"/>
      <w:lvlText w:val="%1."/>
      <w:lvlJc w:val="left"/>
    </w:lvl>
  </w:abstractNum>
  <w:abstractNum w:abstractNumId="2">
    <w:nsid w:val="570E0B19"/>
    <w:multiLevelType w:val="multilevel"/>
    <w:tmpl w:val="570E0B19"/>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4"/>
    <w:footnote w:id="5"/>
  </w:footnotePr>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F3CC0"/>
    <w:rsid w:val="09152141"/>
    <w:rsid w:val="09FF3CC0"/>
    <w:rsid w:val="0D41476B"/>
    <w:rsid w:val="13064379"/>
    <w:rsid w:val="18CE3000"/>
    <w:rsid w:val="28786591"/>
    <w:rsid w:val="3E975046"/>
    <w:rsid w:val="3EFD1E50"/>
    <w:rsid w:val="45D41B2F"/>
    <w:rsid w:val="4A810DB2"/>
    <w:rsid w:val="4DB35E08"/>
    <w:rsid w:val="51E90E52"/>
    <w:rsid w:val="585E4D69"/>
    <w:rsid w:val="58E058B5"/>
    <w:rsid w:val="62550E3B"/>
    <w:rsid w:val="7025268A"/>
    <w:rsid w:val="79312F62"/>
    <w:rsid w:val="7B162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5">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paragraph" w:styleId="6">
    <w:name w:val="heading 5"/>
    <w:next w:val="1"/>
    <w:semiHidden/>
    <w:unhideWhenUsed/>
    <w:qFormat/>
    <w:uiPriority w:val="0"/>
    <w:pPr>
      <w:spacing w:before="0" w:beforeAutospacing="1" w:after="0" w:afterAutospacing="1"/>
      <w:jc w:val="left"/>
    </w:pPr>
    <w:rPr>
      <w:rFonts w:hint="eastAsia" w:ascii="SimSun" w:hAnsi="SimSun" w:eastAsia="SimSun" w:cs="SimSun"/>
      <w:b/>
      <w:bCs/>
      <w:i/>
      <w:iCs/>
      <w:kern w:val="0"/>
      <w:sz w:val="20"/>
      <w:szCs w:val="20"/>
      <w:lang w:val="en-US" w:eastAsia="zh-CN" w:bidi="ar"/>
    </w:rPr>
  </w:style>
  <w:style w:type="character" w:default="1" w:styleId="7">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character" w:styleId="9">
    <w:name w:val="footnote reference"/>
    <w:basedOn w:val="7"/>
    <w:qFormat/>
    <w:uiPriority w:val="0"/>
    <w:rPr>
      <w:vertAlign w:val="superscript"/>
    </w:rPr>
  </w:style>
  <w:style w:type="character" w:styleId="10">
    <w:name w:val="Hyperlink"/>
    <w:basedOn w:val="7"/>
    <w:qFormat/>
    <w:uiPriority w:val="0"/>
    <w:rPr>
      <w:color w:val="0000FF"/>
      <w:u w:val="single"/>
    </w:rPr>
  </w:style>
  <w:style w:type="character" w:styleId="11">
    <w:name w:val="Strong"/>
    <w:basedOn w:val="7"/>
    <w:qFormat/>
    <w:uiPriority w:val="0"/>
    <w:rPr>
      <w:b/>
      <w:bCs/>
    </w:rPr>
  </w:style>
  <w:style w:type="paragraph" w:styleId="12">
    <w:name w:val="footnote text"/>
    <w:basedOn w:val="1"/>
    <w:uiPriority w:val="0"/>
    <w:pPr>
      <w:snapToGrid w:val="0"/>
      <w:jc w:val="left"/>
    </w:pPr>
    <w:rPr>
      <w:sz w:val="18"/>
      <w:szCs w:val="18"/>
    </w:rPr>
  </w:style>
  <w:style w:type="paragraph" w:styleId="13">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14</TotalTime>
  <ScaleCrop>false</ScaleCrop>
  <LinksUpToDate>false</LinksUpToDate>
  <CharactersWithSpaces>0</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2025-10-05T22:14:00Z</dcterms:created>
  <dc:creator>Elvira Balbo</dc:creator>
  <cp:lastModifiedBy>Elvira Balbo</cp:lastModifiedBy>
  <dcterms:modified xsi:type="dcterms:W3CDTF">2025-10-12T22:51:51Z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3082-12.2.0.23131</vt:lpwstr>
  </property>
  <property fmtid="{D5CDD505-2E9C-101B-9397-08002B2CF9AE}" pid="3" name="ICV">
    <vt:lpwstr>41A863485A3C4FC29E446E811700261C_11</vt:lpwstr>
  </property>
</Properties>
</file>